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F5" w:rsidRPr="00AC4AF5" w:rsidRDefault="007D2071" w:rsidP="00091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заземления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нейтралей</w:t>
      </w:r>
      <w:proofErr w:type="spellEnd"/>
    </w:p>
    <w:p w:rsidR="00AC4AF5" w:rsidRPr="00AC4AF5" w:rsidRDefault="00AC4AF5" w:rsidP="00AC4A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4AF5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 w:rsidRPr="00AC4AF5">
        <w:rPr>
          <w:rFonts w:ascii="Times New Roman" w:hAnsi="Times New Roman" w:cs="Times New Roman"/>
          <w:sz w:val="28"/>
          <w:szCs w:val="28"/>
        </w:rPr>
        <w:t xml:space="preserve"> установок называют общие точки обмотки генераторов или трансформаторов, соединенные в звезду.</w:t>
      </w:r>
    </w:p>
    <w:p w:rsidR="000914DC" w:rsidRPr="000914DC" w:rsidRDefault="000914DC">
      <w:pPr>
        <w:rPr>
          <w:rFonts w:ascii="Times New Roman" w:hAnsi="Times New Roman" w:cs="Times New Roman"/>
          <w:sz w:val="28"/>
          <w:szCs w:val="28"/>
        </w:rPr>
      </w:pPr>
    </w:p>
    <w:p w:rsidR="006A0BA9" w:rsidRPr="0061427B" w:rsidRDefault="000914DC" w:rsidP="00AC4AF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427B">
        <w:rPr>
          <w:rFonts w:ascii="Times New Roman" w:hAnsi="Times New Roman" w:cs="Times New Roman"/>
          <w:sz w:val="28"/>
          <w:szCs w:val="28"/>
          <w:u w:val="single"/>
        </w:rPr>
        <w:t xml:space="preserve">Способ заземления </w:t>
      </w:r>
      <w:proofErr w:type="spellStart"/>
      <w:r w:rsidRPr="0061427B">
        <w:rPr>
          <w:rFonts w:ascii="Times New Roman" w:hAnsi="Times New Roman" w:cs="Times New Roman"/>
          <w:sz w:val="28"/>
          <w:szCs w:val="28"/>
          <w:u w:val="single"/>
        </w:rPr>
        <w:t>нейтрали</w:t>
      </w:r>
      <w:proofErr w:type="spellEnd"/>
      <w:r w:rsidRPr="0061427B">
        <w:rPr>
          <w:rFonts w:ascii="Times New Roman" w:hAnsi="Times New Roman" w:cs="Times New Roman"/>
          <w:sz w:val="28"/>
          <w:szCs w:val="28"/>
          <w:u w:val="single"/>
        </w:rPr>
        <w:t xml:space="preserve"> сети определяет:</w:t>
      </w:r>
    </w:p>
    <w:p w:rsidR="00313EEF" w:rsidRPr="000914DC" w:rsidRDefault="00313EEF">
      <w:pPr>
        <w:rPr>
          <w:rFonts w:ascii="Times New Roman" w:hAnsi="Times New Roman" w:cs="Times New Roman"/>
          <w:sz w:val="28"/>
          <w:szCs w:val="28"/>
        </w:rPr>
      </w:pPr>
    </w:p>
    <w:p w:rsidR="000914DC" w:rsidRDefault="00AC4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изоляции электроустановок и выбор коммутационной аппаратуры;</w:t>
      </w:r>
    </w:p>
    <w:p w:rsidR="00AC4AF5" w:rsidRDefault="00AC4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значения перенапряжений и способы их ограничений;</w:t>
      </w:r>
    </w:p>
    <w:p w:rsidR="00AC4AF5" w:rsidRDefault="00AC4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токи при однофазных замыканиях на землю;</w:t>
      </w:r>
    </w:p>
    <w:p w:rsidR="00AC4AF5" w:rsidRDefault="00AC4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работы</w:t>
      </w:r>
      <w:r w:rsidR="00313EEF">
        <w:rPr>
          <w:rFonts w:ascii="Times New Roman" w:hAnsi="Times New Roman" w:cs="Times New Roman"/>
          <w:sz w:val="28"/>
          <w:szCs w:val="28"/>
        </w:rPr>
        <w:t xml:space="preserve"> релейной защиты и безопасности в электрических сетях;</w:t>
      </w:r>
    </w:p>
    <w:p w:rsidR="00313EEF" w:rsidRPr="000914DC" w:rsidRDefault="00313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электромагнитное влияние на линии связи.</w:t>
      </w:r>
    </w:p>
    <w:p w:rsidR="000914DC" w:rsidRDefault="000914DC">
      <w:pPr>
        <w:rPr>
          <w:rFonts w:ascii="Times New Roman" w:hAnsi="Times New Roman" w:cs="Times New Roman"/>
          <w:sz w:val="28"/>
          <w:szCs w:val="28"/>
        </w:rPr>
      </w:pPr>
    </w:p>
    <w:p w:rsidR="00313EEF" w:rsidRPr="000B73B4" w:rsidRDefault="00313EEF">
      <w:pPr>
        <w:rPr>
          <w:rFonts w:ascii="Times New Roman" w:hAnsi="Times New Roman" w:cs="Times New Roman"/>
          <w:sz w:val="28"/>
          <w:szCs w:val="28"/>
        </w:rPr>
      </w:pPr>
      <w:r w:rsidRPr="000B73B4">
        <w:rPr>
          <w:rFonts w:ascii="Times New Roman" w:hAnsi="Times New Roman" w:cs="Times New Roman"/>
          <w:sz w:val="28"/>
          <w:szCs w:val="28"/>
        </w:rPr>
        <w:t xml:space="preserve">В зависимости от режима </w:t>
      </w:r>
      <w:proofErr w:type="spellStart"/>
      <w:r w:rsidRPr="000B73B4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0B73B4">
        <w:rPr>
          <w:rFonts w:ascii="Times New Roman" w:hAnsi="Times New Roman" w:cs="Times New Roman"/>
          <w:sz w:val="28"/>
          <w:szCs w:val="28"/>
        </w:rPr>
        <w:t xml:space="preserve"> электрические сети подразделяют:</w:t>
      </w:r>
    </w:p>
    <w:p w:rsidR="00313EEF" w:rsidRDefault="00313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сети</w:t>
      </w:r>
      <w:r w:rsidR="0061427B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61427B">
        <w:rPr>
          <w:rFonts w:ascii="Times New Roman" w:hAnsi="Times New Roman" w:cs="Times New Roman"/>
          <w:sz w:val="28"/>
          <w:szCs w:val="28"/>
        </w:rPr>
        <w:t>незаземленными</w:t>
      </w:r>
      <w:proofErr w:type="gramEnd"/>
      <w:r w:rsidR="0061427B">
        <w:rPr>
          <w:rFonts w:ascii="Times New Roman" w:hAnsi="Times New Roman" w:cs="Times New Roman"/>
          <w:sz w:val="28"/>
          <w:szCs w:val="28"/>
        </w:rPr>
        <w:t xml:space="preserve"> (изолированными) </w:t>
      </w:r>
      <w:proofErr w:type="spellStart"/>
      <w:r w:rsidR="0061427B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 w:rsidR="0061427B">
        <w:rPr>
          <w:rFonts w:ascii="Times New Roman" w:hAnsi="Times New Roman" w:cs="Times New Roman"/>
          <w:sz w:val="28"/>
          <w:szCs w:val="28"/>
        </w:rPr>
        <w:t>;</w:t>
      </w:r>
    </w:p>
    <w:p w:rsidR="0061427B" w:rsidRDefault="00614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сети с резонансно-заземленными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компенсированными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1427B" w:rsidRDefault="00614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сети с эффективно-заземленными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1427B" w:rsidRDefault="0061427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сети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глухозаземленными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6CA2" w:rsidRDefault="00286CA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6CA2" w:rsidRPr="00FD3182" w:rsidRDefault="00286CA2" w:rsidP="00286CA2">
      <w:pPr>
        <w:numPr>
          <w:ilvl w:val="0"/>
          <w:numId w:val="5"/>
        </w:numPr>
        <w:shd w:val="clear" w:color="auto" w:fill="FFFFFF"/>
        <w:spacing w:before="100" w:beforeAutospacing="1" w:after="24" w:line="346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D31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Глухозаземленная</w:t>
      </w:r>
      <w:proofErr w:type="spellEnd"/>
      <w:r w:rsidRPr="00FD31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D31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нейтраль</w:t>
      </w:r>
      <w:proofErr w:type="spellEnd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</w:t>
      </w:r>
      <w:proofErr w:type="spellStart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нейтраль</w:t>
      </w:r>
      <w:proofErr w:type="spellEnd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трансформатора или генератора, </w:t>
      </w:r>
      <w:proofErr w:type="gramStart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присоединенная</w:t>
      </w:r>
      <w:proofErr w:type="gramEnd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непосредственно к заземляющему устройству. </w:t>
      </w:r>
      <w:proofErr w:type="spellStart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Глухозаземленным</w:t>
      </w:r>
      <w:proofErr w:type="spellEnd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также вывод источника однофазного переменного тока или полюс источника постоянного тока в двухпроводных сетях, а также средняя точка в </w:t>
      </w:r>
      <w:proofErr w:type="spellStart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трехпроводных</w:t>
      </w:r>
      <w:proofErr w:type="spellEnd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сетях постоянного тока.</w:t>
      </w:r>
    </w:p>
    <w:p w:rsidR="00286CA2" w:rsidRPr="00FD3182" w:rsidRDefault="00286CA2" w:rsidP="00286CA2">
      <w:pPr>
        <w:numPr>
          <w:ilvl w:val="0"/>
          <w:numId w:val="5"/>
        </w:numPr>
        <w:shd w:val="clear" w:color="auto" w:fill="FFFFFF"/>
        <w:spacing w:before="100" w:beforeAutospacing="1" w:after="24" w:line="346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1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Изолированная </w:t>
      </w:r>
      <w:proofErr w:type="spellStart"/>
      <w:r w:rsidRPr="00FD31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нейтраль</w:t>
      </w:r>
      <w:proofErr w:type="spellEnd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</w:t>
      </w:r>
      <w:proofErr w:type="spellStart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нейтраль</w:t>
      </w:r>
      <w:proofErr w:type="spellEnd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трансформатора или генератора, </w:t>
      </w:r>
      <w:proofErr w:type="spellStart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неприсоединенная</w:t>
      </w:r>
      <w:proofErr w:type="spellEnd"/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заземляющему устройству или присоединенная к нему через большое сопротивление приборов сигнализации, измерения, защиты и других аналогичных им устройств.</w:t>
      </w:r>
    </w:p>
    <w:p w:rsidR="00286CA2" w:rsidRPr="007D2071" w:rsidRDefault="00286CA2">
      <w:pPr>
        <w:rPr>
          <w:rFonts w:ascii="Times New Roman" w:hAnsi="Times New Roman" w:cs="Times New Roman"/>
          <w:sz w:val="28"/>
          <w:szCs w:val="28"/>
        </w:rPr>
      </w:pPr>
    </w:p>
    <w:p w:rsidR="00286CA2" w:rsidRPr="00FD3182" w:rsidRDefault="00286CA2" w:rsidP="00286CA2">
      <w:pPr>
        <w:numPr>
          <w:ilvl w:val="0"/>
          <w:numId w:val="6"/>
        </w:numPr>
        <w:shd w:val="clear" w:color="auto" w:fill="FFFFFF"/>
        <w:spacing w:before="100" w:beforeAutospacing="1" w:after="24" w:line="346" w:lineRule="atLeast"/>
        <w:ind w:lef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1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Коэффициент замыкания на землю в трехфазной электрической сети</w:t>
      </w:r>
      <w:r w:rsidRPr="00FD3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отношение разности потенциалов между неповрежденной фазой и землей в точке замыкания на землю другой или двух других фаз к разности потенциалов между фазой и землей в этой точке до замыкания.</w:t>
      </w:r>
    </w:p>
    <w:p w:rsidR="00286CA2" w:rsidRPr="007D2071" w:rsidRDefault="00286CA2">
      <w:pPr>
        <w:rPr>
          <w:rFonts w:ascii="Times New Roman" w:hAnsi="Times New Roman" w:cs="Times New Roman"/>
          <w:sz w:val="28"/>
          <w:szCs w:val="28"/>
        </w:rPr>
      </w:pPr>
    </w:p>
    <w:p w:rsidR="00A21C5C" w:rsidRDefault="00A21C5C" w:rsidP="00A21C5C">
      <w:pPr>
        <w:pStyle w:val="a7"/>
        <w:shd w:val="clear" w:color="auto" w:fill="FFFFFF"/>
        <w:spacing w:before="0" w:beforeAutospacing="0" w:after="182" w:afterAutospacing="0" w:line="365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Глухим заземлением называют такой способ заземления, при котором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нейтраль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обмотки трансформатора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присоединена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к заземляющему устройству металлически или через малое сопротивление (например, через трансформаторы тока).</w:t>
      </w:r>
    </w:p>
    <w:p w:rsidR="00A21C5C" w:rsidRDefault="00A21C5C" w:rsidP="00A21C5C">
      <w:pPr>
        <w:pStyle w:val="a7"/>
        <w:shd w:val="clear" w:color="auto" w:fill="FFFFFF"/>
        <w:spacing w:before="0" w:beforeAutospacing="0" w:after="182" w:afterAutospacing="0" w:line="365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Эффективным заземлением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нейтрали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– называют такую сеть, в которой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нейтрали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большей части силовых элементов (трансформаторов, генераторов) заземлены.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В данном режиме повышение напряжения по отношению к земле на неповреждённых фазах при однофазных замыканиях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на землю в установившемся режиме не превышает 0,8 линейного напряжения и  коэффициент замыкания на землю не превышает 1,4.</w:t>
      </w:r>
    </w:p>
    <w:p w:rsidR="00286CA2" w:rsidRPr="00A21C5C" w:rsidRDefault="00A21C5C" w:rsidP="00A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6"/>
          <w:szCs w:val="26"/>
        </w:rPr>
        <w:t>Коэффициентом замыкания на землю в трёхфазной электрической сети называется отношение разности потенциалов между неповреждённой фазой и землёй в точке замыкания на землю другой или двух других фаз к разности потенциалов между фазой и землёй в этой точке до замыкания.</w:t>
      </w:r>
    </w:p>
    <w:p w:rsidR="000602C4" w:rsidRDefault="000602C4">
      <w:pPr>
        <w:rPr>
          <w:rFonts w:ascii="Times New Roman" w:hAnsi="Times New Roman" w:cs="Times New Roman"/>
          <w:sz w:val="28"/>
          <w:szCs w:val="28"/>
        </w:rPr>
      </w:pPr>
    </w:p>
    <w:p w:rsidR="000602C4" w:rsidRDefault="000602C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устройства установок (ПУЭ)</w:t>
      </w:r>
    </w:p>
    <w:p w:rsidR="000602C4" w:rsidRPr="001F7B5C" w:rsidRDefault="000602C4" w:rsidP="001F7B5C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 с номинальным напряжением</w:t>
      </w:r>
      <w:r w:rsidR="001F7B5C">
        <w:rPr>
          <w:rFonts w:ascii="Times New Roman" w:hAnsi="Times New Roman" w:cs="Times New Roman"/>
          <w:sz w:val="28"/>
          <w:szCs w:val="28"/>
        </w:rPr>
        <w:t xml:space="preserve"> до 1 кВ, питающиеся от понижающих трансформаторов, присоединенных к сетям с </w:t>
      </w:r>
      <w:proofErr w:type="gramStart"/>
      <w:r w:rsidR="001F7B5C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="001F7B5C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r w:rsidR="001F7B5C">
        <w:rPr>
          <w:rFonts w:ascii="Times New Roman" w:hAnsi="Times New Roman" w:cs="Times New Roman"/>
          <w:sz w:val="28"/>
          <w:szCs w:val="28"/>
        </w:rPr>
        <w:t xml:space="preserve"> &gt; 1кВ, выполняются с </w:t>
      </w:r>
      <w:r w:rsidR="001F7B5C" w:rsidRPr="001F7B5C">
        <w:rPr>
          <w:rFonts w:ascii="Times New Roman" w:hAnsi="Times New Roman" w:cs="Times New Roman"/>
          <w:b/>
          <w:sz w:val="28"/>
          <w:szCs w:val="28"/>
        </w:rPr>
        <w:t xml:space="preserve">глухим заземлением </w:t>
      </w:r>
      <w:proofErr w:type="spellStart"/>
      <w:r w:rsidR="001F7B5C" w:rsidRPr="001F7B5C">
        <w:rPr>
          <w:rFonts w:ascii="Times New Roman" w:hAnsi="Times New Roman" w:cs="Times New Roman"/>
          <w:b/>
          <w:sz w:val="28"/>
          <w:szCs w:val="28"/>
        </w:rPr>
        <w:t>нейтрали</w:t>
      </w:r>
      <w:proofErr w:type="spellEnd"/>
      <w:r w:rsidR="001F7B5C" w:rsidRPr="001F7B5C">
        <w:rPr>
          <w:rFonts w:ascii="Times New Roman" w:hAnsi="Times New Roman" w:cs="Times New Roman"/>
          <w:b/>
          <w:sz w:val="28"/>
          <w:szCs w:val="28"/>
        </w:rPr>
        <w:t>.</w:t>
      </w:r>
    </w:p>
    <w:p w:rsidR="001F7B5C" w:rsidRDefault="001F7B5C" w:rsidP="001F7B5C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1F7B5C">
        <w:rPr>
          <w:rFonts w:ascii="Times New Roman" w:hAnsi="Times New Roman" w:cs="Times New Roman"/>
          <w:sz w:val="28"/>
          <w:szCs w:val="28"/>
        </w:rPr>
        <w:t>Сети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r>
        <w:rPr>
          <w:rFonts w:ascii="Times New Roman" w:hAnsi="Times New Roman" w:cs="Times New Roman"/>
          <w:sz w:val="28"/>
          <w:szCs w:val="28"/>
        </w:rPr>
        <w:t xml:space="preserve"> до 1кВ, питающиеся от автономного источника или разделительного трансформатора (по условиям обеспечения максимальной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замыканиях на землю), выполняются с </w:t>
      </w:r>
      <w:r w:rsidRPr="001F7B5C">
        <w:rPr>
          <w:rFonts w:ascii="Times New Roman" w:hAnsi="Times New Roman" w:cs="Times New Roman"/>
          <w:b/>
          <w:sz w:val="28"/>
          <w:szCs w:val="28"/>
        </w:rPr>
        <w:t xml:space="preserve">незаземленной </w:t>
      </w:r>
      <w:proofErr w:type="spellStart"/>
      <w:r w:rsidRPr="001F7B5C">
        <w:rPr>
          <w:rFonts w:ascii="Times New Roman" w:hAnsi="Times New Roman" w:cs="Times New Roman"/>
          <w:b/>
          <w:sz w:val="28"/>
          <w:szCs w:val="28"/>
        </w:rPr>
        <w:t>нейтралью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7B5C" w:rsidRDefault="001F7B5C" w:rsidP="001F7B5C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r>
        <w:rPr>
          <w:rFonts w:ascii="Times New Roman" w:hAnsi="Times New Roman" w:cs="Times New Roman"/>
          <w:sz w:val="28"/>
          <w:szCs w:val="28"/>
        </w:rPr>
        <w:t xml:space="preserve"> = 110 кВ и выше выполняются </w:t>
      </w:r>
      <w:r w:rsidRPr="00034AF6">
        <w:rPr>
          <w:rFonts w:ascii="Times New Roman" w:hAnsi="Times New Roman" w:cs="Times New Roman"/>
          <w:b/>
          <w:sz w:val="28"/>
          <w:szCs w:val="28"/>
        </w:rPr>
        <w:t xml:space="preserve">с эффективным заземлением </w:t>
      </w:r>
      <w:proofErr w:type="spellStart"/>
      <w:r w:rsidRPr="00034AF6">
        <w:rPr>
          <w:rFonts w:ascii="Times New Roman" w:hAnsi="Times New Roman" w:cs="Times New Roman"/>
          <w:b/>
          <w:sz w:val="28"/>
          <w:szCs w:val="28"/>
        </w:rPr>
        <w:t>нейтрали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заземляется непосредственно или через</w:t>
      </w:r>
      <w:r w:rsidR="00034AF6">
        <w:rPr>
          <w:rFonts w:ascii="Times New Roman" w:hAnsi="Times New Roman" w:cs="Times New Roman"/>
          <w:sz w:val="28"/>
          <w:szCs w:val="28"/>
        </w:rPr>
        <w:t xml:space="preserve"> небольш</w:t>
      </w:r>
      <w:r>
        <w:rPr>
          <w:rFonts w:ascii="Times New Roman" w:hAnsi="Times New Roman" w:cs="Times New Roman"/>
          <w:sz w:val="28"/>
          <w:szCs w:val="28"/>
        </w:rPr>
        <w:t>ое сопротивление).</w:t>
      </w:r>
    </w:p>
    <w:p w:rsidR="001F7B5C" w:rsidRDefault="001F7B5C" w:rsidP="001F7B5C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Сети 3 – 35 кВ, выполненные кабелями, при любых токах замыкания на землю выполняются </w:t>
      </w:r>
      <w:r w:rsidRPr="00034AF6">
        <w:rPr>
          <w:rFonts w:ascii="Times New Roman" w:hAnsi="Times New Roman" w:cs="Times New Roman"/>
          <w:b/>
          <w:sz w:val="28"/>
          <w:szCs w:val="28"/>
        </w:rPr>
        <w:t xml:space="preserve">с заземление </w:t>
      </w:r>
      <w:proofErr w:type="spellStart"/>
      <w:r w:rsidRPr="00034AF6">
        <w:rPr>
          <w:rFonts w:ascii="Times New Roman" w:hAnsi="Times New Roman" w:cs="Times New Roman"/>
          <w:b/>
          <w:sz w:val="28"/>
          <w:szCs w:val="28"/>
        </w:rPr>
        <w:t>нейтрали</w:t>
      </w:r>
      <w:proofErr w:type="spellEnd"/>
      <w:r w:rsidRPr="00034AF6">
        <w:rPr>
          <w:rFonts w:ascii="Times New Roman" w:hAnsi="Times New Roman" w:cs="Times New Roman"/>
          <w:b/>
          <w:sz w:val="28"/>
          <w:szCs w:val="28"/>
        </w:rPr>
        <w:t xml:space="preserve"> через резистор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B5C" w:rsidRDefault="001F7B5C" w:rsidP="001F7B5C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 3 – 35 кВ, имеющих воздушные линии, при  токе замыкания не более 30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выполняются </w:t>
      </w:r>
      <w:r w:rsidRPr="00034AF6">
        <w:rPr>
          <w:rFonts w:ascii="Times New Roman" w:hAnsi="Times New Roman" w:cs="Times New Roman"/>
          <w:b/>
          <w:sz w:val="28"/>
          <w:szCs w:val="28"/>
        </w:rPr>
        <w:t xml:space="preserve">с заземление </w:t>
      </w:r>
      <w:proofErr w:type="spellStart"/>
      <w:r w:rsidRPr="00034AF6">
        <w:rPr>
          <w:rFonts w:ascii="Times New Roman" w:hAnsi="Times New Roman" w:cs="Times New Roman"/>
          <w:b/>
          <w:sz w:val="28"/>
          <w:szCs w:val="28"/>
        </w:rPr>
        <w:t>нейтрали</w:t>
      </w:r>
      <w:proofErr w:type="spellEnd"/>
      <w:r w:rsidRPr="00034AF6">
        <w:rPr>
          <w:rFonts w:ascii="Times New Roman" w:hAnsi="Times New Roman" w:cs="Times New Roman"/>
          <w:b/>
          <w:sz w:val="28"/>
          <w:szCs w:val="28"/>
        </w:rPr>
        <w:t xml:space="preserve"> через резистор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AF6" w:rsidRDefault="00034AF6" w:rsidP="001F7B5C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034AF6">
        <w:rPr>
          <w:rFonts w:ascii="Times New Roman" w:hAnsi="Times New Roman" w:cs="Times New Roman"/>
          <w:b/>
          <w:sz w:val="28"/>
          <w:szCs w:val="28"/>
        </w:rPr>
        <w:lastRenderedPageBreak/>
        <w:t>Компенсация емкостного тока</w:t>
      </w:r>
      <w:r>
        <w:rPr>
          <w:rFonts w:ascii="Times New Roman" w:hAnsi="Times New Roman" w:cs="Times New Roman"/>
          <w:sz w:val="28"/>
          <w:szCs w:val="28"/>
        </w:rPr>
        <w:t xml:space="preserve"> на землю необходима при значениях этого тока в нормальных условиях:</w:t>
      </w:r>
    </w:p>
    <w:p w:rsidR="001F7B5C" w:rsidRDefault="0043356E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34AF6">
        <w:rPr>
          <w:rFonts w:ascii="Times New Roman" w:hAnsi="Times New Roman" w:cs="Times New Roman"/>
          <w:sz w:val="28"/>
          <w:szCs w:val="28"/>
        </w:rPr>
        <w:t xml:space="preserve"> в сетях 3-20 кВ с железобетонными и металлическими опорами </w:t>
      </w:r>
      <w:proofErr w:type="gramStart"/>
      <w:r w:rsidR="00034AF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034AF6">
        <w:rPr>
          <w:rFonts w:ascii="Times New Roman" w:hAnsi="Times New Roman" w:cs="Times New Roman"/>
          <w:sz w:val="28"/>
          <w:szCs w:val="28"/>
        </w:rPr>
        <w:t xml:space="preserve"> и во всех сетях 35 кВ –  более 10 А. </w:t>
      </w:r>
    </w:p>
    <w:p w:rsidR="0043356E" w:rsidRDefault="0043356E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сетях не имеющих железобетонных или металлических опор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</w:p>
    <w:p w:rsidR="0043356E" w:rsidRDefault="0043356E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напряжении 3-6 кВ –  более 30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3356E" w:rsidRDefault="0043356E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10 кВ – более 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3356E" w:rsidRDefault="0043356E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15-20 кВ – более 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0D6BF3" w:rsidRDefault="000D6BF3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схемах 6-20 кВ блоков генератор – трансформатор – более 5 А.</w:t>
      </w:r>
    </w:p>
    <w:p w:rsidR="000D6BF3" w:rsidRDefault="000D6BF3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0D6BF3" w:rsidRDefault="000D6BF3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токах замыкания на землю более 50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рекомендуется установка не менее двух заземляющих дугогасящих реакторов.</w:t>
      </w:r>
    </w:p>
    <w:p w:rsidR="00EC6D6A" w:rsidRDefault="00EC6D6A" w:rsidP="00034AF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C6D6A" w:rsidRDefault="00EC6D6A" w:rsidP="00EC6D6A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D6A">
        <w:rPr>
          <w:rFonts w:ascii="Times New Roman" w:hAnsi="Times New Roman" w:cs="Times New Roman"/>
          <w:b/>
          <w:sz w:val="28"/>
          <w:szCs w:val="28"/>
        </w:rPr>
        <w:t xml:space="preserve">Сети </w:t>
      </w:r>
      <w:proofErr w:type="gramStart"/>
      <w:r w:rsidRPr="00EC6D6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C6D6A">
        <w:rPr>
          <w:rFonts w:ascii="Times New Roman" w:hAnsi="Times New Roman" w:cs="Times New Roman"/>
          <w:b/>
          <w:sz w:val="28"/>
          <w:szCs w:val="28"/>
        </w:rPr>
        <w:t xml:space="preserve"> незаземленной </w:t>
      </w:r>
      <w:proofErr w:type="spellStart"/>
      <w:r w:rsidRPr="00EC6D6A">
        <w:rPr>
          <w:rFonts w:ascii="Times New Roman" w:hAnsi="Times New Roman" w:cs="Times New Roman"/>
          <w:b/>
          <w:sz w:val="28"/>
          <w:szCs w:val="28"/>
        </w:rPr>
        <w:t>нейтралью</w:t>
      </w:r>
      <w:proofErr w:type="spellEnd"/>
    </w:p>
    <w:p w:rsidR="00EC6D6A" w:rsidRDefault="00EC6D6A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C6D6A" w:rsidRDefault="00EC6D6A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нормальном режиме в каждой фазе протекает небольшой емкостной ток, обусловленный равномерно распределенной емкостью фаз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EC6D6A" w:rsidRDefault="00EC6D6A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C6D6A" w:rsidRDefault="00EC6D6A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7795" cy="286512"/>
            <wp:effectExtent l="19050" t="0" r="37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65" cy="2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емкость фазы относительно земли</w:t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EC6D6A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токов 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C746AF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трех фаз равна нулю,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никакого тока в земле не протекает.</w:t>
      </w:r>
    </w:p>
    <w:p w:rsidR="00C746AF" w:rsidRDefault="00C746AF" w:rsidP="00EC6D6A">
      <w:pPr>
        <w:pStyle w:val="a3"/>
        <w:ind w:left="14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замыкания на землю одной фазы, 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емкость этой фазы шунтируется, при этом напряжение в поврежденной фазе уменьшается до нуля, а в неповрежденных возрастает до линейного, т.е. увеличивается в </w:t>
      </w:r>
      <m:oMath>
        <m:r>
          <w:rPr>
            <w:rFonts w:ascii="Cambria Math" w:hAnsi="Cambria Math" w:cs="Times New Roman"/>
            <w:sz w:val="28"/>
            <w:szCs w:val="28"/>
          </w:rPr>
          <m:t>√3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раз.</w:t>
      </w: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806" cy="1103427"/>
            <wp:effectExtent l="19050" t="0" r="914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177" cy="110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– замыкание на землю в трехфазной сети с изолированной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(замыкание на землю фазы С).</w:t>
      </w: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Емкостный ток в неповрежденных фазах </w:t>
      </w: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7102" cy="28648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83" cy="28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 однофазного замыкания на землю</w:t>
      </w: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C746AF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9466" cy="33491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461" cy="33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5C" w:rsidRPr="00A21C5C" w:rsidRDefault="00A21C5C" w:rsidP="00A21C5C">
      <w:pPr>
        <w:pStyle w:val="a7"/>
        <w:shd w:val="clear" w:color="auto" w:fill="FFFFFF"/>
        <w:rPr>
          <w:color w:val="333333"/>
          <w:sz w:val="28"/>
          <w:szCs w:val="28"/>
        </w:rPr>
      </w:pPr>
      <w:r w:rsidRPr="00A21C5C">
        <w:rPr>
          <w:color w:val="333333"/>
          <w:sz w:val="28"/>
          <w:szCs w:val="28"/>
        </w:rPr>
        <w:t>Ic=3ωC</w:t>
      </w:r>
      <w:r w:rsidRPr="00A21C5C">
        <w:rPr>
          <w:color w:val="333333"/>
          <w:sz w:val="28"/>
          <w:szCs w:val="28"/>
          <w:vertAlign w:val="subscript"/>
        </w:rPr>
        <w:t>0</w:t>
      </w:r>
      <w:r w:rsidRPr="00A21C5C">
        <w:rPr>
          <w:color w:val="333333"/>
          <w:sz w:val="28"/>
          <w:szCs w:val="28"/>
        </w:rPr>
        <w:t>U</w:t>
      </w:r>
      <w:r w:rsidRPr="00A21C5C">
        <w:rPr>
          <w:color w:val="333333"/>
          <w:sz w:val="28"/>
          <w:szCs w:val="28"/>
          <w:vertAlign w:val="subscript"/>
        </w:rPr>
        <w:t>ф</w:t>
      </w:r>
      <w:r w:rsidRPr="00A21C5C">
        <w:rPr>
          <w:color w:val="333333"/>
          <w:sz w:val="28"/>
          <w:szCs w:val="28"/>
        </w:rPr>
        <w:t>,</w:t>
      </w:r>
    </w:p>
    <w:p w:rsidR="00C746AF" w:rsidRPr="00A21C5C" w:rsidRDefault="00C746AF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A21C5C" w:rsidRPr="00A21C5C" w:rsidRDefault="00A21C5C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01778" w:rsidRDefault="00201778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Емкостной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ток в режиме замыкания на землю в 3 раза больше емкостного тока в нормальном режиме.</w:t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зависит от напряжения сети, частоты и емкости фаз относительно земли, которая зависит в основном от конструкции линий сети и их протяженности.</w:t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Приближенно  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</w:t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воздушных линий</w:t>
      </w:r>
    </w:p>
    <w:p w:rsidR="003A7526" w:rsidRPr="003A7526" w:rsidRDefault="003A7526" w:rsidP="003A752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2198" cy="557322"/>
            <wp:effectExtent l="1905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17" cy="55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кабельных линий</w:t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0278" cy="444539"/>
            <wp:effectExtent l="19050" t="0" r="4572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09" cy="44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- ток, А;</w:t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U – междуфазное напряжение, кВ;</w:t>
      </w:r>
    </w:p>
    <w:p w:rsidR="003A7526" w:rsidRDefault="003A7526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011">
        <w:rPr>
          <w:rFonts w:ascii="Times New Roman" w:hAnsi="Times New Roman" w:cs="Times New Roman"/>
          <w:sz w:val="28"/>
          <w:szCs w:val="28"/>
        </w:rPr>
        <w:t>электрически связанной сети</w:t>
      </w:r>
      <w:r>
        <w:rPr>
          <w:rFonts w:ascii="Times New Roman" w:hAnsi="Times New Roman" w:cs="Times New Roman"/>
          <w:sz w:val="28"/>
          <w:szCs w:val="28"/>
        </w:rPr>
        <w:t>, км.</w:t>
      </w:r>
    </w:p>
    <w:p w:rsidR="00283011" w:rsidRDefault="00283011" w:rsidP="00EC6D6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283011" w:rsidRDefault="00283011" w:rsidP="00061531">
      <w:pPr>
        <w:pStyle w:val="a3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ПТЭ разрешается работать с замыкание на землю в сети с изолированной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более 2 часов.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этого времени персонал должен обнаружить место замыкания и устранить повреждение. Для предупреждения персонала о возникновении замыкания на землю </w:t>
      </w:r>
      <w:r>
        <w:rPr>
          <w:rFonts w:ascii="Times New Roman" w:hAnsi="Times New Roman" w:cs="Times New Roman"/>
          <w:sz w:val="28"/>
          <w:szCs w:val="28"/>
        </w:rPr>
        <w:lastRenderedPageBreak/>
        <w:t>применяют контроль изоляции с помощью измерения</w:t>
      </w:r>
      <w:r w:rsidR="00061531">
        <w:rPr>
          <w:rFonts w:ascii="Times New Roman" w:hAnsi="Times New Roman" w:cs="Times New Roman"/>
          <w:sz w:val="28"/>
          <w:szCs w:val="28"/>
        </w:rPr>
        <w:t xml:space="preserve"> трехфазных напряжений. На поврежденной фазе </w:t>
      </w:r>
      <w:proofErr w:type="spellStart"/>
      <w:r w:rsidR="00061531">
        <w:rPr>
          <w:rFonts w:ascii="Times New Roman" w:hAnsi="Times New Roman" w:cs="Times New Roman"/>
          <w:sz w:val="28"/>
          <w:szCs w:val="28"/>
        </w:rPr>
        <w:t>U</w:t>
      </w:r>
      <w:r w:rsidR="0006153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="00061531">
        <w:rPr>
          <w:rFonts w:ascii="Times New Roman" w:hAnsi="Times New Roman" w:cs="Times New Roman"/>
          <w:sz w:val="28"/>
          <w:szCs w:val="28"/>
        </w:rPr>
        <w:t xml:space="preserve"> = 0, а на двух других приближается к </w:t>
      </w:r>
      <w:proofErr w:type="gramStart"/>
      <w:r w:rsidR="00061531">
        <w:rPr>
          <w:rFonts w:ascii="Times New Roman" w:hAnsi="Times New Roman" w:cs="Times New Roman"/>
          <w:sz w:val="28"/>
          <w:szCs w:val="28"/>
        </w:rPr>
        <w:t>линейному</w:t>
      </w:r>
      <w:proofErr w:type="gramEnd"/>
      <w:r w:rsidR="0006153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√3</m:t>
        </m:r>
      </m:oMath>
      <w:r w:rsidR="00061531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="0006153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ф. </w:t>
      </w:r>
      <w:r w:rsidR="00061531">
        <w:rPr>
          <w:rFonts w:ascii="Times New Roman" w:eastAsiaTheme="minorEastAsia" w:hAnsi="Times New Roman" w:cs="Times New Roman"/>
          <w:sz w:val="28"/>
          <w:szCs w:val="28"/>
        </w:rPr>
        <w:t xml:space="preserve"> Кроме того, устанавливается релейное устройство звуковой сигнализации.</w:t>
      </w:r>
    </w:p>
    <w:p w:rsidR="00061531" w:rsidRDefault="00061531" w:rsidP="00061531">
      <w:pPr>
        <w:pStyle w:val="a3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61531" w:rsidRDefault="00061531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сетях, работающих с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изолированной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нейтралью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возможно замыкание на землю через возникшую дугу, которая попеременно зажигается и гаснет, что вызывает резонансные явления и повышение напряжения до (2,5 -3)</w:t>
      </w:r>
      <w:r w:rsidRPr="00061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ослабленной изоляции это может привести к пробою изоляции и междуфазному КЗ. Возникает необходимость уменьшить, компенсирова</w:t>
      </w:r>
      <w:r w:rsidR="00F04FE4">
        <w:rPr>
          <w:rFonts w:ascii="Times New Roman" w:hAnsi="Times New Roman" w:cs="Times New Roman"/>
          <w:sz w:val="28"/>
          <w:szCs w:val="28"/>
        </w:rPr>
        <w:t>ть емкостный ток путем установки</w:t>
      </w:r>
      <w:r>
        <w:rPr>
          <w:rFonts w:ascii="Times New Roman" w:hAnsi="Times New Roman" w:cs="Times New Roman"/>
          <w:sz w:val="28"/>
          <w:szCs w:val="28"/>
        </w:rPr>
        <w:t xml:space="preserve"> индуктивного сопротивления – дугогасящего реактора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4FE4" w:rsidRDefault="00F04FE4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04FE4" w:rsidRDefault="00F04FE4" w:rsidP="00061531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FE4">
        <w:rPr>
          <w:rFonts w:ascii="Times New Roman" w:hAnsi="Times New Roman" w:cs="Times New Roman"/>
          <w:b/>
          <w:sz w:val="28"/>
          <w:szCs w:val="28"/>
        </w:rPr>
        <w:t xml:space="preserve">Сети с </w:t>
      </w:r>
      <w:proofErr w:type="gramStart"/>
      <w:r w:rsidRPr="00F04FE4">
        <w:rPr>
          <w:rFonts w:ascii="Times New Roman" w:hAnsi="Times New Roman" w:cs="Times New Roman"/>
          <w:b/>
          <w:sz w:val="28"/>
          <w:szCs w:val="28"/>
        </w:rPr>
        <w:t>компенсированными</w:t>
      </w:r>
      <w:proofErr w:type="gramEnd"/>
      <w:r w:rsidRPr="00F04FE4">
        <w:rPr>
          <w:rFonts w:ascii="Times New Roman" w:hAnsi="Times New Roman" w:cs="Times New Roman"/>
          <w:b/>
          <w:sz w:val="28"/>
          <w:szCs w:val="28"/>
        </w:rPr>
        <w:t xml:space="preserve"> (резонансно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FE4">
        <w:rPr>
          <w:rFonts w:ascii="Times New Roman" w:hAnsi="Times New Roman" w:cs="Times New Roman"/>
          <w:b/>
          <w:sz w:val="28"/>
          <w:szCs w:val="28"/>
        </w:rPr>
        <w:t xml:space="preserve">заземленными) </w:t>
      </w:r>
      <w:proofErr w:type="spellStart"/>
      <w:r w:rsidRPr="00F04FE4">
        <w:rPr>
          <w:rFonts w:ascii="Times New Roman" w:hAnsi="Times New Roman" w:cs="Times New Roman"/>
          <w:b/>
          <w:sz w:val="28"/>
          <w:szCs w:val="28"/>
        </w:rPr>
        <w:t>нейтралями</w:t>
      </w:r>
      <w:proofErr w:type="spellEnd"/>
      <w:r w:rsidRPr="00F04FE4">
        <w:rPr>
          <w:rFonts w:ascii="Times New Roman" w:hAnsi="Times New Roman" w:cs="Times New Roman"/>
          <w:b/>
          <w:sz w:val="28"/>
          <w:szCs w:val="28"/>
        </w:rPr>
        <w:t>.</w:t>
      </w:r>
    </w:p>
    <w:p w:rsidR="00F04FE4" w:rsidRDefault="00F04FE4" w:rsidP="00061531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FE4" w:rsidRDefault="00F04FE4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4FE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емкостного тока на землю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трансформаторов или генераторов включают дугогасящие реакторы (ДГР), индуктивное сопротивление которых соответствует емкостному сопротивлению сети:</w:t>
      </w:r>
    </w:p>
    <w:p w:rsidR="00F04FE4" w:rsidRDefault="00F04FE4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924" cy="219209"/>
            <wp:effectExtent l="19050" t="0" r="7526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02" cy="21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FE4" w:rsidRDefault="00F04FE4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04FE4" w:rsidRDefault="00152393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8470" cy="1576808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81" cy="157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FE4" w:rsidRDefault="00F04FE4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04FE4" w:rsidRDefault="00F04FE4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– Замыкание на землю в трехфазной сети с резонансно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зеземленной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393">
        <w:rPr>
          <w:rFonts w:ascii="Times New Roman" w:hAnsi="Times New Roman" w:cs="Times New Roman"/>
          <w:sz w:val="28"/>
          <w:szCs w:val="28"/>
        </w:rPr>
        <w:t>нейтраль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152393">
        <w:rPr>
          <w:rFonts w:ascii="Times New Roman" w:hAnsi="Times New Roman" w:cs="Times New Roman"/>
          <w:sz w:val="28"/>
          <w:szCs w:val="28"/>
        </w:rPr>
        <w:t xml:space="preserve"> ( а – замыкание на землю фазы</w:t>
      </w:r>
      <w:proofErr w:type="gramStart"/>
      <w:r w:rsidR="0015239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52393">
        <w:rPr>
          <w:rFonts w:ascii="Times New Roman" w:hAnsi="Times New Roman" w:cs="Times New Roman"/>
          <w:sz w:val="28"/>
          <w:szCs w:val="28"/>
        </w:rPr>
        <w:t>; б – векторная диаграмма для поврежденной фазы С.</w:t>
      </w:r>
    </w:p>
    <w:p w:rsidR="00F04FE4" w:rsidRDefault="00152393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9470" cy="1731010"/>
            <wp:effectExtent l="19050" t="0" r="508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393" w:rsidRDefault="00152393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52393" w:rsidRDefault="00152393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1410" cy="737870"/>
            <wp:effectExtent l="19050" t="0" r="254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393" w:rsidRDefault="00152393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57262" w:rsidRDefault="00057262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замыкании фазы на землю в месте повреждения протекают токи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05726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0572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сдвинутые на 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друг относительно друга,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результирующий ток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05726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 будет недостаточен для поддержания дуги. И она не возникнет. Необходимо настроить ДГР в резонанс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05726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). Чтобы сохранить настройку, необходимо регулировать индуктивное сопротивление ДГР.</w:t>
      </w:r>
    </w:p>
    <w:p w:rsidR="00B57D16" w:rsidRDefault="00B57D16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A1669" w:rsidRDefault="005A1669" w:rsidP="008F0C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A1669" w:rsidRPr="007D2071" w:rsidRDefault="005A1669" w:rsidP="008F0C17">
      <w:pPr>
        <w:rPr>
          <w:rFonts w:ascii="Times New Roman" w:hAnsi="Times New Roman" w:cs="Times New Roman"/>
          <w:sz w:val="28"/>
          <w:szCs w:val="28"/>
        </w:rPr>
      </w:pPr>
    </w:p>
    <w:p w:rsidR="008F0C17" w:rsidRPr="00B965EB" w:rsidRDefault="008F0C17" w:rsidP="008F0C17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>Конструктивно ДГР напоминает трансформатор: в бак, заполненный маслом, помещается маг</w:t>
      </w:r>
      <w:r>
        <w:rPr>
          <w:rFonts w:ascii="Times New Roman" w:hAnsi="Times New Roman" w:cs="Times New Roman"/>
          <w:sz w:val="28"/>
          <w:szCs w:val="28"/>
        </w:rPr>
        <w:t>нитная система с обмоткой. Ре</w:t>
      </w:r>
      <w:r w:rsidRPr="00B13008">
        <w:rPr>
          <w:rFonts w:ascii="Times New Roman" w:hAnsi="Times New Roman" w:cs="Times New Roman"/>
          <w:sz w:val="28"/>
          <w:szCs w:val="28"/>
        </w:rPr>
        <w:t>гулирование индуктивного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сопротивления осуществляется: </w:t>
      </w:r>
      <w:r w:rsidRPr="00B13008">
        <w:rPr>
          <w:rFonts w:ascii="Times New Roman" w:hAnsi="Times New Roman" w:cs="Times New Roman"/>
          <w:sz w:val="28"/>
          <w:szCs w:val="28"/>
        </w:rPr>
        <w:t>изменением числа витков</w:t>
      </w:r>
      <w:r>
        <w:rPr>
          <w:rFonts w:ascii="Times New Roman" w:hAnsi="Times New Roman" w:cs="Times New Roman"/>
          <w:sz w:val="28"/>
          <w:szCs w:val="28"/>
        </w:rPr>
        <w:t xml:space="preserve"> обмотки, тип РЗДСОМ — реактор </w:t>
      </w:r>
      <w:r w:rsidRPr="00B13008">
        <w:rPr>
          <w:rFonts w:ascii="Times New Roman" w:hAnsi="Times New Roman" w:cs="Times New Roman"/>
          <w:sz w:val="28"/>
          <w:szCs w:val="28"/>
        </w:rPr>
        <w:t xml:space="preserve">заземляющий, дугогасящий, </w:t>
      </w:r>
      <w:r>
        <w:rPr>
          <w:rFonts w:ascii="Times New Roman" w:hAnsi="Times New Roman" w:cs="Times New Roman"/>
          <w:sz w:val="28"/>
          <w:szCs w:val="28"/>
        </w:rPr>
        <w:t xml:space="preserve">со ступенчатым регулированием, </w:t>
      </w:r>
      <w:r w:rsidRPr="00B13008">
        <w:rPr>
          <w:rFonts w:ascii="Times New Roman" w:hAnsi="Times New Roman" w:cs="Times New Roman"/>
          <w:sz w:val="28"/>
          <w:szCs w:val="28"/>
        </w:rPr>
        <w:t>однофазный, масляный (после отключения от сети); изменением магнитного соп</w:t>
      </w:r>
      <w:r>
        <w:rPr>
          <w:rFonts w:ascii="Times New Roman" w:hAnsi="Times New Roman" w:cs="Times New Roman"/>
          <w:sz w:val="28"/>
          <w:szCs w:val="28"/>
        </w:rPr>
        <w:t>ротивления путем изменения ве</w:t>
      </w:r>
      <w:r w:rsidRPr="00B13008">
        <w:rPr>
          <w:rFonts w:ascii="Times New Roman" w:hAnsi="Times New Roman" w:cs="Times New Roman"/>
          <w:sz w:val="28"/>
          <w:szCs w:val="28"/>
        </w:rPr>
        <w:t xml:space="preserve">личины воздушных зазоров в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гнитопроводе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(реактор плунжер</w:t>
      </w:r>
      <w:r w:rsidRPr="00B13008">
        <w:rPr>
          <w:rFonts w:ascii="Times New Roman" w:hAnsi="Times New Roman" w:cs="Times New Roman"/>
          <w:sz w:val="28"/>
          <w:szCs w:val="28"/>
        </w:rPr>
        <w:t xml:space="preserve">ного типа); применением подмагничивания магнитопровода постоянным током, тип РЗДПОМ — реактор заземляющий, дугогасящий,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008">
        <w:rPr>
          <w:rFonts w:ascii="Times New Roman" w:hAnsi="Times New Roman" w:cs="Times New Roman"/>
          <w:sz w:val="28"/>
          <w:szCs w:val="28"/>
        </w:rPr>
        <w:t xml:space="preserve">с плавным регулированием, однофазный, масляный. </w:t>
      </w:r>
    </w:p>
    <w:p w:rsidR="005A1669" w:rsidRDefault="005A1669" w:rsidP="008F0C17">
      <w:pPr>
        <w:rPr>
          <w:rFonts w:ascii="Tahoma" w:eastAsia="Times New Roman" w:hAnsi="Tahoma" w:cs="Tahoma"/>
          <w:color w:val="808080"/>
          <w:sz w:val="24"/>
          <w:szCs w:val="24"/>
          <w:lang w:val="en-US" w:eastAsia="ru-RU"/>
        </w:rPr>
      </w:pPr>
    </w:p>
    <w:p w:rsidR="004B7030" w:rsidRPr="004B7030" w:rsidRDefault="004B7030" w:rsidP="008F0C17">
      <w:pPr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6910E1" w:rsidRPr="006910E1" w:rsidRDefault="006910E1" w:rsidP="008F0C17">
      <w:pPr>
        <w:rPr>
          <w:rFonts w:ascii="Tahoma" w:eastAsia="Times New Roman" w:hAnsi="Tahoma" w:cs="Tahoma"/>
          <w:color w:val="808080"/>
          <w:sz w:val="24"/>
          <w:szCs w:val="24"/>
          <w:lang w:eastAsia="ru-RU"/>
        </w:rPr>
      </w:pPr>
      <w:r w:rsidRPr="004D0E8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Пример обозначения дугогасящего реактора:</w:t>
      </w:r>
      <w:r w:rsidRPr="004D0E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РЗДПОМ</w:t>
      </w:r>
      <w:r w:rsidRPr="004D0E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 – реактор</w:t>
      </w:r>
      <w:r w:rsidRPr="004D0E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 – заземляющий</w:t>
      </w:r>
      <w:r w:rsidRPr="004D0E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 – дугогасящий</w:t>
      </w:r>
      <w:r w:rsidRPr="004D0E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 – плавное регулирование сопротивления</w:t>
      </w:r>
      <w:proofErr w:type="gramStart"/>
      <w:r w:rsidRPr="004D0E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</w:t>
      </w:r>
      <w:proofErr w:type="gramEnd"/>
      <w:r w:rsidRPr="004D0E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однофазны</w:t>
      </w:r>
      <w:r w:rsidRPr="004D0E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 – масленый</w:t>
      </w:r>
    </w:p>
    <w:p w:rsidR="006910E1" w:rsidRPr="006910E1" w:rsidRDefault="006910E1" w:rsidP="008F0C17">
      <w:pPr>
        <w:rPr>
          <w:rFonts w:ascii="Times New Roman" w:hAnsi="Times New Roman" w:cs="Times New Roman"/>
          <w:sz w:val="28"/>
          <w:szCs w:val="28"/>
        </w:rPr>
      </w:pPr>
    </w:p>
    <w:p w:rsidR="00D90F40" w:rsidRPr="00D90F40" w:rsidRDefault="00D90F40" w:rsidP="00D90F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90F40">
        <w:rPr>
          <w:rFonts w:ascii="Times New Roman" w:hAnsi="Times New Roman" w:cs="Times New Roman"/>
          <w:sz w:val="28"/>
          <w:szCs w:val="28"/>
          <w:u w:val="single"/>
        </w:rPr>
        <w:t xml:space="preserve">Выбор дугогасящих реакторов производится в следующем порядке: </w:t>
      </w:r>
    </w:p>
    <w:p w:rsidR="00D90F40" w:rsidRDefault="00D90F40" w:rsidP="00D90F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90F40">
        <w:rPr>
          <w:rFonts w:ascii="Times New Roman" w:hAnsi="Times New Roman" w:cs="Times New Roman"/>
          <w:sz w:val="28"/>
          <w:szCs w:val="28"/>
        </w:rPr>
        <w:lastRenderedPageBreak/>
        <w:t>определяют суммарную мощность реакторов из условия полной компенсации:</w:t>
      </w:r>
    </w:p>
    <w:p w:rsidR="00D90F40" w:rsidRPr="00D90F40" w:rsidRDefault="00D90F40" w:rsidP="00D90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830" cy="331033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41" cy="33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40" w:rsidRDefault="00D90F40" w:rsidP="00D90F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коэффициент, учитывающий развитие сети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1,25);</w:t>
      </w:r>
    </w:p>
    <w:p w:rsidR="00D90F40" w:rsidRDefault="00D90F40" w:rsidP="00D90F4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– полный ток замыкания на землю.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А;</w:t>
      </w:r>
    </w:p>
    <w:p w:rsidR="00D90F40" w:rsidRPr="00D90F40" w:rsidRDefault="00D90F40" w:rsidP="00D90F4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>фазное напряжение сети, кВ</w:t>
      </w:r>
    </w:p>
    <w:p w:rsidR="00D90F40" w:rsidRPr="00B13008" w:rsidRDefault="00D90F40" w:rsidP="00D90F40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F40" w:rsidRPr="00B13008" w:rsidRDefault="00D90F40" w:rsidP="00D90F40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>2) опре</w:t>
      </w:r>
      <w:r>
        <w:rPr>
          <w:rFonts w:ascii="Times New Roman" w:hAnsi="Times New Roman" w:cs="Times New Roman"/>
          <w:sz w:val="28"/>
          <w:szCs w:val="28"/>
        </w:rPr>
        <w:t xml:space="preserve">деляют число реакторов. Если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D90F40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D90F40">
        <w:rPr>
          <w:rFonts w:ascii="Times New Roman" w:hAnsi="Times New Roman" w:cs="Times New Roman"/>
          <w:sz w:val="28"/>
          <w:szCs w:val="28"/>
        </w:rPr>
        <w:t>&gt;</w:t>
      </w:r>
      <w:r w:rsidRPr="00B13008">
        <w:rPr>
          <w:rFonts w:ascii="Times New Roman" w:hAnsi="Times New Roman" w:cs="Times New Roman"/>
          <w:sz w:val="28"/>
          <w:szCs w:val="28"/>
        </w:rPr>
        <w:t xml:space="preserve"> 50</w:t>
      </w:r>
      <w:proofErr w:type="gramStart"/>
      <w:r w:rsidRPr="00B1300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13008">
        <w:rPr>
          <w:rFonts w:ascii="Times New Roman" w:hAnsi="Times New Roman" w:cs="Times New Roman"/>
          <w:sz w:val="28"/>
          <w:szCs w:val="28"/>
        </w:rPr>
        <w:t xml:space="preserve">, то для надежности применяют не менее двух реакторов; </w:t>
      </w:r>
    </w:p>
    <w:p w:rsidR="00D90F40" w:rsidRPr="00B13008" w:rsidRDefault="00D90F40" w:rsidP="00D90F40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3) выбирают место подключения реакторов. Рекомендуется устанавливать реакторы на узловых подстанциях. В сетях генераторного напряжения ДГР устанавливают, как правило, на станциях; </w:t>
      </w:r>
    </w:p>
    <w:p w:rsidR="00D90F40" w:rsidRDefault="00D90F40" w:rsidP="00D90F40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4) выбирают мощности трансформаторов для подсоединения ДГР. </w:t>
      </w:r>
    </w:p>
    <w:p w:rsidR="00D90F40" w:rsidRPr="00D90F40" w:rsidRDefault="00D90F40" w:rsidP="00D90F40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13008">
        <w:rPr>
          <w:rFonts w:ascii="Times New Roman" w:hAnsi="Times New Roman" w:cs="Times New Roman"/>
          <w:sz w:val="28"/>
          <w:szCs w:val="28"/>
        </w:rPr>
        <w:t>Номинальная мощность трансформатора должна быть не менее расчетн</w:t>
      </w:r>
      <w:r>
        <w:rPr>
          <w:rFonts w:ascii="Times New Roman" w:hAnsi="Times New Roman" w:cs="Times New Roman"/>
          <w:sz w:val="28"/>
          <w:szCs w:val="28"/>
        </w:rPr>
        <w:t>ой мощности реактора S</w:t>
      </w:r>
      <w:r w:rsidRPr="00D90F40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&gt;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ДГР.</w:t>
      </w:r>
    </w:p>
    <w:p w:rsidR="00D90F40" w:rsidRPr="007D2071" w:rsidRDefault="00D90F40" w:rsidP="00D90F40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>Если используется тран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13008">
        <w:rPr>
          <w:rFonts w:ascii="Times New Roman" w:hAnsi="Times New Roman" w:cs="Times New Roman"/>
          <w:sz w:val="28"/>
          <w:szCs w:val="28"/>
        </w:rPr>
        <w:t>форматор собственных нужд станции или подстанции, то надо учесть м</w:t>
      </w:r>
      <w:r>
        <w:rPr>
          <w:rFonts w:ascii="Times New Roman" w:hAnsi="Times New Roman" w:cs="Times New Roman"/>
          <w:sz w:val="28"/>
          <w:szCs w:val="28"/>
        </w:rPr>
        <w:t>аксимальную мощность нагрузки 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B13008">
        <w:rPr>
          <w:rFonts w:ascii="Times New Roman" w:hAnsi="Times New Roman" w:cs="Times New Roman"/>
          <w:sz w:val="28"/>
          <w:szCs w:val="28"/>
        </w:rPr>
        <w:t xml:space="preserve"> и допустимость перегрузки трансформатора на время работы сети с заземленной фазой:</w:t>
      </w:r>
    </w:p>
    <w:p w:rsidR="00D90F40" w:rsidRPr="00D90F40" w:rsidRDefault="00D90F40" w:rsidP="00D90F4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9432" cy="310896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08" cy="31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40" w:rsidRPr="00B13008" w:rsidRDefault="00D90F40" w:rsidP="00D90F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13008">
        <w:rPr>
          <w:rFonts w:ascii="Times New Roman" w:hAnsi="Times New Roman" w:cs="Times New Roman"/>
          <w:sz w:val="28"/>
          <w:szCs w:val="28"/>
        </w:rPr>
        <w:t xml:space="preserve">Для присоединения ДГР рекомендуется использовать трансформаторы, обмотки которых соединены по схеме звезда — треугольник, так как при схеме звезда — звезда индуктивное сопротивление трансформаторов при однофазных замыканиях на землю в 10 раз больше, чем при междуфазных, что затрудняет настройку ДГР. </w:t>
      </w:r>
      <w:proofErr w:type="gramEnd"/>
    </w:p>
    <w:p w:rsidR="00D90F40" w:rsidRPr="00B13008" w:rsidRDefault="00D90F40" w:rsidP="00D90F40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Достоинство компенсированных сетей состоит в том, что перенапряжения, возникающие при дуговых замыканиях на землю, </w:t>
      </w:r>
      <w:r>
        <w:rPr>
          <w:rFonts w:ascii="Times New Roman" w:hAnsi="Times New Roman" w:cs="Times New Roman"/>
          <w:sz w:val="28"/>
          <w:szCs w:val="28"/>
        </w:rPr>
        <w:t>ограничиваются до 2,</w:t>
      </w:r>
      <w:r w:rsidRPr="00D90F40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D90F40">
        <w:rPr>
          <w:rFonts w:ascii="Times New Roman" w:hAnsi="Times New Roman" w:cs="Times New Roman"/>
          <w:sz w:val="28"/>
          <w:szCs w:val="28"/>
        </w:rPr>
        <w:t xml:space="preserve"> </w:t>
      </w:r>
      <w:r w:rsidRPr="00B13008">
        <w:rPr>
          <w:rFonts w:ascii="Times New Roman" w:hAnsi="Times New Roman" w:cs="Times New Roman"/>
          <w:sz w:val="28"/>
          <w:szCs w:val="28"/>
        </w:rPr>
        <w:t xml:space="preserve"> (в сетях с изолированной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до 3,2</w:t>
      </w:r>
      <w:r w:rsidRPr="00D90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 Работа в режиме</w:t>
      </w:r>
      <w:r w:rsidRPr="00D90F40">
        <w:rPr>
          <w:rFonts w:ascii="Times New Roman" w:hAnsi="Times New Roman" w:cs="Times New Roman"/>
          <w:sz w:val="28"/>
          <w:szCs w:val="28"/>
        </w:rPr>
        <w:t xml:space="preserve"> </w:t>
      </w:r>
      <w:r w:rsidRPr="00B13008">
        <w:rPr>
          <w:rFonts w:ascii="Times New Roman" w:hAnsi="Times New Roman" w:cs="Times New Roman"/>
          <w:sz w:val="28"/>
          <w:szCs w:val="28"/>
        </w:rPr>
        <w:t xml:space="preserve">заземленной фазы ограничивается так же, как в сетях </w:t>
      </w:r>
      <w:proofErr w:type="gramStart"/>
      <w:r w:rsidRPr="00B13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3008">
        <w:rPr>
          <w:rFonts w:ascii="Times New Roman" w:hAnsi="Times New Roman" w:cs="Times New Roman"/>
          <w:sz w:val="28"/>
          <w:szCs w:val="28"/>
        </w:rPr>
        <w:t xml:space="preserve"> изолированной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41FA" w:rsidRPr="003F41FA" w:rsidRDefault="003F41FA" w:rsidP="003F4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FA">
        <w:rPr>
          <w:rFonts w:ascii="Times New Roman" w:hAnsi="Times New Roman" w:cs="Times New Roman"/>
          <w:b/>
          <w:sz w:val="28"/>
          <w:szCs w:val="28"/>
        </w:rPr>
        <w:t xml:space="preserve">Сети с эффективно </w:t>
      </w:r>
      <w:proofErr w:type="gramStart"/>
      <w:r w:rsidRPr="003F41FA">
        <w:rPr>
          <w:rFonts w:ascii="Times New Roman" w:hAnsi="Times New Roman" w:cs="Times New Roman"/>
          <w:b/>
          <w:sz w:val="28"/>
          <w:szCs w:val="28"/>
        </w:rPr>
        <w:t>заземленными</w:t>
      </w:r>
      <w:proofErr w:type="gramEnd"/>
      <w:r w:rsidRPr="003F41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41FA">
        <w:rPr>
          <w:rFonts w:ascii="Times New Roman" w:hAnsi="Times New Roman" w:cs="Times New Roman"/>
          <w:b/>
          <w:sz w:val="28"/>
          <w:szCs w:val="28"/>
        </w:rPr>
        <w:t>нейтралями</w:t>
      </w:r>
      <w:proofErr w:type="spellEnd"/>
    </w:p>
    <w:p w:rsidR="003F41FA" w:rsidRPr="00B13008" w:rsidRDefault="003F41FA" w:rsidP="003F41FA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lastRenderedPageBreak/>
        <w:t>Сети с U</w:t>
      </w:r>
      <w:r w:rsidRPr="003F41FA">
        <w:rPr>
          <w:rFonts w:ascii="Times New Roman" w:hAnsi="Times New Roman" w:cs="Times New Roman"/>
          <w:sz w:val="28"/>
          <w:szCs w:val="28"/>
          <w:vertAlign w:val="subscript"/>
        </w:rPr>
        <w:t>H0M</w:t>
      </w:r>
      <w:r w:rsidRPr="00B13008">
        <w:rPr>
          <w:rFonts w:ascii="Times New Roman" w:hAnsi="Times New Roman" w:cs="Times New Roman"/>
          <w:sz w:val="28"/>
          <w:szCs w:val="28"/>
        </w:rPr>
        <w:t xml:space="preserve">= 110 кВ и выше выполняются с эффективным заземлением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 по соображениям стоимости изоляции, так как в таких сетях при замыкании на землю одной фазы напряжение на двух других не превышает 0,8 междуфазного напряжения. </w:t>
      </w:r>
    </w:p>
    <w:p w:rsidR="003F41FA" w:rsidRPr="007D2071" w:rsidRDefault="003F41FA" w:rsidP="003F41FA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Это означает, что изоляцию рассчитывают на это напряжение, а не на полное междуфазное напряжение в случае </w:t>
      </w:r>
      <w:proofErr w:type="gramStart"/>
      <w:r w:rsidRPr="00B13008">
        <w:rPr>
          <w:rFonts w:ascii="Times New Roman" w:hAnsi="Times New Roman" w:cs="Times New Roman"/>
          <w:sz w:val="28"/>
          <w:szCs w:val="28"/>
        </w:rPr>
        <w:t>изолированной</w:t>
      </w:r>
      <w:proofErr w:type="gramEnd"/>
      <w:r w:rsidRPr="00B13008">
        <w:rPr>
          <w:rFonts w:ascii="Times New Roman" w:hAnsi="Times New Roman" w:cs="Times New Roman"/>
          <w:sz w:val="28"/>
          <w:szCs w:val="28"/>
        </w:rPr>
        <w:t xml:space="preserve"> </w:t>
      </w:r>
      <w:r w:rsidRPr="003F41FA">
        <w:rPr>
          <w:rFonts w:ascii="Times New Roman" w:hAnsi="Times New Roman" w:cs="Times New Roman"/>
          <w:sz w:val="28"/>
          <w:szCs w:val="28"/>
        </w:rPr>
        <w:t xml:space="preserve"> </w:t>
      </w:r>
      <w:r w:rsidRPr="00B13008">
        <w:rPr>
          <w:rFonts w:ascii="Times New Roman" w:hAnsi="Times New Roman" w:cs="Times New Roman"/>
          <w:sz w:val="28"/>
          <w:szCs w:val="28"/>
        </w:rPr>
        <w:t xml:space="preserve">или компенсированной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7D7" w:rsidRPr="008F17D7" w:rsidRDefault="008F17D7" w:rsidP="003F41FA">
      <w:pPr>
        <w:rPr>
          <w:rFonts w:ascii="Times New Roman" w:hAnsi="Times New Roman" w:cs="Times New Roman"/>
          <w:sz w:val="28"/>
          <w:szCs w:val="28"/>
        </w:rPr>
      </w:pPr>
    </w:p>
    <w:p w:rsidR="003F41FA" w:rsidRPr="00B13008" w:rsidRDefault="003F41FA" w:rsidP="003F41FA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Недостатком режима заземленной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 является то, что замыкание фазы на землю является коротким замыканием и требует немедленного отключения. Значительная часть однофазных замыканий в сетях 110 кВ и выше при снятии напряжения самоустраняется, поэтому автоматическое повторное включение (АПВ) восстанавливает питание потребителей. </w:t>
      </w:r>
    </w:p>
    <w:p w:rsidR="003F41FA" w:rsidRPr="00B13008" w:rsidRDefault="003F41FA" w:rsidP="003F41FA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Для уменьшения величины тока однофазного КЗ применяют </w:t>
      </w:r>
      <w:proofErr w:type="gramStart"/>
      <w:r w:rsidRPr="00B13008">
        <w:rPr>
          <w:rFonts w:ascii="Times New Roman" w:hAnsi="Times New Roman" w:cs="Times New Roman"/>
          <w:sz w:val="28"/>
          <w:szCs w:val="28"/>
        </w:rPr>
        <w:t>частичное</w:t>
      </w:r>
      <w:proofErr w:type="gramEnd"/>
      <w:r w:rsidRPr="00B13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разземление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нейтралей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. Например, из двух установленных на подстанции трансформаторов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нейтраль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 заземляется только у одного. </w:t>
      </w:r>
    </w:p>
    <w:p w:rsidR="003F41FA" w:rsidRPr="003F41FA" w:rsidRDefault="003F41FA" w:rsidP="003F41FA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Еще одним недостатком режима является усложнение конструкции заземляющего устройства, которое должно быть рассчитано на большой ток КЗ. </w:t>
      </w:r>
    </w:p>
    <w:p w:rsidR="003F41FA" w:rsidRPr="007D2071" w:rsidRDefault="003F41FA" w:rsidP="003F41FA">
      <w:pPr>
        <w:rPr>
          <w:rFonts w:ascii="Times New Roman" w:hAnsi="Times New Roman" w:cs="Times New Roman"/>
          <w:sz w:val="28"/>
          <w:szCs w:val="28"/>
        </w:rPr>
      </w:pPr>
    </w:p>
    <w:p w:rsidR="003F41FA" w:rsidRPr="003F41FA" w:rsidRDefault="003F41FA" w:rsidP="003F4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FA">
        <w:rPr>
          <w:rFonts w:ascii="Times New Roman" w:hAnsi="Times New Roman" w:cs="Times New Roman"/>
          <w:b/>
          <w:sz w:val="28"/>
          <w:szCs w:val="28"/>
        </w:rPr>
        <w:t xml:space="preserve">Сети с </w:t>
      </w:r>
      <w:proofErr w:type="spellStart"/>
      <w:r w:rsidRPr="003F41FA">
        <w:rPr>
          <w:rFonts w:ascii="Times New Roman" w:hAnsi="Times New Roman" w:cs="Times New Roman"/>
          <w:b/>
          <w:sz w:val="28"/>
          <w:szCs w:val="28"/>
        </w:rPr>
        <w:t>глухозаземленными</w:t>
      </w:r>
      <w:proofErr w:type="spellEnd"/>
      <w:r w:rsidRPr="003F41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41FA">
        <w:rPr>
          <w:rFonts w:ascii="Times New Roman" w:hAnsi="Times New Roman" w:cs="Times New Roman"/>
          <w:b/>
          <w:sz w:val="28"/>
          <w:szCs w:val="28"/>
        </w:rPr>
        <w:t>нейтралями</w:t>
      </w:r>
      <w:proofErr w:type="spellEnd"/>
    </w:p>
    <w:p w:rsidR="003F41FA" w:rsidRPr="00B13008" w:rsidRDefault="003F41FA" w:rsidP="003F41FA">
      <w:pPr>
        <w:rPr>
          <w:rFonts w:ascii="Times New Roman" w:hAnsi="Times New Roman" w:cs="Times New Roman"/>
          <w:sz w:val="28"/>
          <w:szCs w:val="28"/>
        </w:rPr>
      </w:pPr>
      <w:r w:rsidRPr="00B13008">
        <w:rPr>
          <w:rFonts w:ascii="Times New Roman" w:hAnsi="Times New Roman" w:cs="Times New Roman"/>
          <w:sz w:val="28"/>
          <w:szCs w:val="28"/>
        </w:rPr>
        <w:t xml:space="preserve">В установках до 1 кВ для одновременного питания трехфазных и однофазных нагрузок применяются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четырехпроводные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 сети с </w:t>
      </w:r>
      <w:r>
        <w:rPr>
          <w:rFonts w:ascii="Times New Roman" w:hAnsi="Times New Roman" w:cs="Times New Roman"/>
          <w:sz w:val="28"/>
          <w:szCs w:val="28"/>
        </w:rPr>
        <w:t>глухим заземлением</w:t>
      </w:r>
      <w:r w:rsidRPr="003F4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3008">
        <w:rPr>
          <w:rFonts w:ascii="Times New Roman" w:hAnsi="Times New Roman" w:cs="Times New Roman"/>
          <w:sz w:val="28"/>
          <w:szCs w:val="28"/>
        </w:rPr>
        <w:t xml:space="preserve">В таких сетях применяют нулевой проводник, связанный с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 xml:space="preserve"> трансформатора (рис. 1.9), который служит также для защитного </w:t>
      </w:r>
      <w:proofErr w:type="spellStart"/>
      <w:r w:rsidRPr="00B13008">
        <w:rPr>
          <w:rFonts w:ascii="Times New Roman" w:hAnsi="Times New Roman" w:cs="Times New Roman"/>
          <w:sz w:val="28"/>
          <w:szCs w:val="28"/>
        </w:rPr>
        <w:t>зануления</w:t>
      </w:r>
      <w:proofErr w:type="spellEnd"/>
      <w:r w:rsidRPr="00B13008">
        <w:rPr>
          <w:rFonts w:ascii="Times New Roman" w:hAnsi="Times New Roman" w:cs="Times New Roman"/>
          <w:sz w:val="28"/>
          <w:szCs w:val="28"/>
        </w:rPr>
        <w:t>, т. е. для присоединения всех металлических частей электроустановки, нормально не находящихся под напряжением.</w:t>
      </w:r>
      <w:proofErr w:type="gramEnd"/>
      <w:r w:rsidRPr="00B13008">
        <w:rPr>
          <w:rFonts w:ascii="Times New Roman" w:hAnsi="Times New Roman" w:cs="Times New Roman"/>
          <w:sz w:val="28"/>
          <w:szCs w:val="28"/>
        </w:rPr>
        <w:t xml:space="preserve"> При пробое изоляции на корпус возникает </w:t>
      </w:r>
      <w:proofErr w:type="gramStart"/>
      <w:r w:rsidRPr="00B13008">
        <w:rPr>
          <w:rFonts w:ascii="Times New Roman" w:hAnsi="Times New Roman" w:cs="Times New Roman"/>
          <w:sz w:val="28"/>
          <w:szCs w:val="28"/>
        </w:rPr>
        <w:t>однофазное</w:t>
      </w:r>
      <w:proofErr w:type="gramEnd"/>
      <w:r w:rsidRPr="00B13008">
        <w:rPr>
          <w:rFonts w:ascii="Times New Roman" w:hAnsi="Times New Roman" w:cs="Times New Roman"/>
          <w:sz w:val="28"/>
          <w:szCs w:val="28"/>
        </w:rPr>
        <w:t xml:space="preserve"> КЗ, приводящее к отключению соответствующего автоматического выключателя. Нулевой проводник изолируется, как и фазные проводники, сечение его не менее 0,5 фазного, от его целостности зависит надежность и бе</w:t>
      </w:r>
      <w:r>
        <w:rPr>
          <w:rFonts w:ascii="Times New Roman" w:hAnsi="Times New Roman" w:cs="Times New Roman"/>
          <w:sz w:val="28"/>
          <w:szCs w:val="28"/>
        </w:rPr>
        <w:t>зопасность работы</w:t>
      </w:r>
      <w:r w:rsidRPr="003F41FA">
        <w:rPr>
          <w:rFonts w:ascii="Times New Roman" w:hAnsi="Times New Roman" w:cs="Times New Roman"/>
          <w:sz w:val="28"/>
          <w:szCs w:val="28"/>
        </w:rPr>
        <w:t xml:space="preserve"> </w:t>
      </w:r>
      <w:r w:rsidRPr="00B13008">
        <w:rPr>
          <w:rFonts w:ascii="Times New Roman" w:hAnsi="Times New Roman" w:cs="Times New Roman"/>
          <w:sz w:val="28"/>
          <w:szCs w:val="28"/>
        </w:rPr>
        <w:t xml:space="preserve">электроустановки. </w:t>
      </w:r>
      <w:r w:rsidRPr="003F41FA">
        <w:rPr>
          <w:rFonts w:ascii="Times New Roman" w:hAnsi="Times New Roman" w:cs="Times New Roman"/>
          <w:sz w:val="28"/>
          <w:szCs w:val="28"/>
        </w:rPr>
        <w:t xml:space="preserve"> </w:t>
      </w:r>
      <w:r w:rsidRPr="00B13008">
        <w:rPr>
          <w:rFonts w:ascii="Times New Roman" w:hAnsi="Times New Roman" w:cs="Times New Roman"/>
          <w:sz w:val="28"/>
          <w:szCs w:val="28"/>
        </w:rPr>
        <w:t xml:space="preserve">Нулевой проводник повторно заземляется в местах разветвления и на длинных участках (более 200 м). </w:t>
      </w:r>
    </w:p>
    <w:p w:rsidR="003F41FA" w:rsidRPr="003F41FA" w:rsidRDefault="003F41FA" w:rsidP="0006153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3F41FA" w:rsidRPr="003F41FA" w:rsidSect="006A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A57"/>
    <w:multiLevelType w:val="multilevel"/>
    <w:tmpl w:val="4B60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2E4840"/>
    <w:multiLevelType w:val="hybridMultilevel"/>
    <w:tmpl w:val="251AA7FE"/>
    <w:lvl w:ilvl="0" w:tplc="675A4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26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A7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A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A7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2B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CC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27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23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437B84"/>
    <w:multiLevelType w:val="hybridMultilevel"/>
    <w:tmpl w:val="52864E82"/>
    <w:lvl w:ilvl="0" w:tplc="52CAA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82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6B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06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6B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64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61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E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6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776A7D"/>
    <w:multiLevelType w:val="hybridMultilevel"/>
    <w:tmpl w:val="6ECAD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C5678"/>
    <w:multiLevelType w:val="multilevel"/>
    <w:tmpl w:val="F2E6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8819C2"/>
    <w:multiLevelType w:val="hybridMultilevel"/>
    <w:tmpl w:val="9BE2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4DC"/>
    <w:rsid w:val="00031F07"/>
    <w:rsid w:val="00034AF6"/>
    <w:rsid w:val="00057262"/>
    <w:rsid w:val="000602C4"/>
    <w:rsid w:val="00061531"/>
    <w:rsid w:val="000914DC"/>
    <w:rsid w:val="000B73B4"/>
    <w:rsid w:val="000D6BF3"/>
    <w:rsid w:val="00130423"/>
    <w:rsid w:val="00137B3E"/>
    <w:rsid w:val="00140F71"/>
    <w:rsid w:val="00152393"/>
    <w:rsid w:val="001F7B5C"/>
    <w:rsid w:val="00201778"/>
    <w:rsid w:val="00283011"/>
    <w:rsid w:val="00286CA2"/>
    <w:rsid w:val="00313EEF"/>
    <w:rsid w:val="003A7526"/>
    <w:rsid w:val="003C299F"/>
    <w:rsid w:val="003F41FA"/>
    <w:rsid w:val="0043356E"/>
    <w:rsid w:val="004B7030"/>
    <w:rsid w:val="005A1669"/>
    <w:rsid w:val="0061427B"/>
    <w:rsid w:val="006910E1"/>
    <w:rsid w:val="006A0BA9"/>
    <w:rsid w:val="007D2071"/>
    <w:rsid w:val="00870039"/>
    <w:rsid w:val="008F0C17"/>
    <w:rsid w:val="008F17D7"/>
    <w:rsid w:val="00A21C5C"/>
    <w:rsid w:val="00AC4AF5"/>
    <w:rsid w:val="00B57D16"/>
    <w:rsid w:val="00B965EB"/>
    <w:rsid w:val="00C746AF"/>
    <w:rsid w:val="00D52239"/>
    <w:rsid w:val="00D90F40"/>
    <w:rsid w:val="00E1504D"/>
    <w:rsid w:val="00EC6D6A"/>
    <w:rsid w:val="00F04FE4"/>
    <w:rsid w:val="00F1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2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D6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746AF"/>
    <w:rPr>
      <w:color w:val="808080"/>
    </w:rPr>
  </w:style>
  <w:style w:type="paragraph" w:styleId="a7">
    <w:name w:val="Normal (Web)"/>
    <w:basedOn w:val="a"/>
    <w:uiPriority w:val="99"/>
    <w:unhideWhenUsed/>
    <w:rsid w:val="008F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17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3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0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1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5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C0DEC-581E-443D-B38B-C552BAF5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29</cp:revision>
  <dcterms:created xsi:type="dcterms:W3CDTF">2014-02-05T05:36:00Z</dcterms:created>
  <dcterms:modified xsi:type="dcterms:W3CDTF">2014-02-28T16:48:00Z</dcterms:modified>
</cp:coreProperties>
</file>